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69" w:rsidRDefault="002D4F69" w:rsidP="002D4F69">
      <w:pPr>
        <w:jc w:val="center"/>
        <w:rPr>
          <w:b/>
          <w:sz w:val="56"/>
          <w:szCs w:val="56"/>
        </w:rPr>
      </w:pPr>
      <w:bookmarkStart w:id="0" w:name="_GoBack"/>
      <w:bookmarkEnd w:id="0"/>
      <w:r>
        <w:rPr>
          <w:b/>
          <w:noProof/>
          <w:sz w:val="56"/>
          <w:szCs w:val="56"/>
        </w:rPr>
        <w:drawing>
          <wp:inline distT="0" distB="0" distL="0" distR="0">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rsidR="0043140F" w:rsidRPr="002D4F69" w:rsidRDefault="002D4F69" w:rsidP="002D4F69">
      <w:pPr>
        <w:jc w:val="center"/>
        <w:rPr>
          <w:b/>
          <w:sz w:val="56"/>
          <w:szCs w:val="56"/>
        </w:rPr>
      </w:pPr>
      <w:r w:rsidRPr="002D4F69">
        <w:rPr>
          <w:b/>
          <w:sz w:val="56"/>
          <w:szCs w:val="56"/>
        </w:rPr>
        <w:t>Fillmore Central School</w:t>
      </w:r>
    </w:p>
    <w:p w:rsidR="002D4F69" w:rsidRDefault="002D4F69" w:rsidP="002D4F69">
      <w:pPr>
        <w:jc w:val="center"/>
        <w:rPr>
          <w:sz w:val="32"/>
          <w:szCs w:val="32"/>
        </w:rPr>
      </w:pPr>
    </w:p>
    <w:p w:rsidR="00F57FA4" w:rsidRDefault="00F57FA4" w:rsidP="002D4F69">
      <w:pPr>
        <w:jc w:val="center"/>
        <w:rPr>
          <w:sz w:val="32"/>
          <w:szCs w:val="32"/>
        </w:rPr>
      </w:pPr>
    </w:p>
    <w:p w:rsidR="00F57FA4" w:rsidRDefault="00F57FA4" w:rsidP="002D4F69">
      <w:pPr>
        <w:jc w:val="center"/>
        <w:rPr>
          <w:sz w:val="32"/>
          <w:szCs w:val="32"/>
        </w:rPr>
      </w:pPr>
    </w:p>
    <w:p w:rsidR="002D4F69" w:rsidRPr="002D4F69" w:rsidRDefault="002D4F69" w:rsidP="002D4F69">
      <w:pPr>
        <w:jc w:val="center"/>
        <w:rPr>
          <w:b/>
          <w:sz w:val="32"/>
          <w:szCs w:val="32"/>
        </w:rPr>
      </w:pPr>
      <w:r w:rsidRPr="002D4F69">
        <w:rPr>
          <w:b/>
          <w:sz w:val="32"/>
          <w:szCs w:val="32"/>
        </w:rPr>
        <w:t>Smart Schools Investment Plan</w:t>
      </w:r>
    </w:p>
    <w:p w:rsidR="002D4F69" w:rsidRDefault="002D4F69" w:rsidP="00E30226">
      <w:pPr>
        <w:jc w:val="center"/>
        <w:rPr>
          <w:b/>
          <w:sz w:val="32"/>
          <w:szCs w:val="32"/>
        </w:rPr>
      </w:pPr>
      <w:r w:rsidRPr="002D4F69">
        <w:rPr>
          <w:b/>
          <w:sz w:val="32"/>
          <w:szCs w:val="32"/>
        </w:rPr>
        <w:t>Classroom Technology and High-Tech Security Features</w:t>
      </w:r>
    </w:p>
    <w:p w:rsidR="00E30226" w:rsidRDefault="00E30226" w:rsidP="002D4F69">
      <w:pPr>
        <w:jc w:val="center"/>
        <w:rPr>
          <w:b/>
          <w:sz w:val="32"/>
          <w:szCs w:val="32"/>
        </w:rPr>
      </w:pPr>
    </w:p>
    <w:p w:rsidR="00F57FA4" w:rsidRDefault="00F57FA4" w:rsidP="002D4F69">
      <w:pPr>
        <w:jc w:val="center"/>
        <w:rPr>
          <w:b/>
          <w:sz w:val="32"/>
          <w:szCs w:val="32"/>
        </w:rPr>
      </w:pPr>
    </w:p>
    <w:p w:rsidR="00F57FA4" w:rsidRDefault="00F57FA4" w:rsidP="002D4F69">
      <w:pPr>
        <w:jc w:val="center"/>
        <w:rPr>
          <w:b/>
          <w:sz w:val="32"/>
          <w:szCs w:val="32"/>
        </w:rPr>
      </w:pPr>
    </w:p>
    <w:p w:rsidR="002D4F69" w:rsidRDefault="002D4F69" w:rsidP="002D4F69">
      <w:pPr>
        <w:jc w:val="center"/>
        <w:rPr>
          <w:b/>
          <w:sz w:val="32"/>
          <w:szCs w:val="32"/>
        </w:rPr>
      </w:pPr>
      <w:r>
        <w:rPr>
          <w:b/>
          <w:sz w:val="32"/>
          <w:szCs w:val="32"/>
        </w:rPr>
        <w:t>October 2019</w:t>
      </w:r>
    </w:p>
    <w:p w:rsidR="00E30226" w:rsidRDefault="00E30226" w:rsidP="002D4F69">
      <w:pPr>
        <w:jc w:val="center"/>
        <w:rPr>
          <w:b/>
          <w:sz w:val="32"/>
          <w:szCs w:val="32"/>
        </w:rPr>
      </w:pPr>
    </w:p>
    <w:p w:rsidR="0038774F" w:rsidRDefault="0038774F">
      <w:pPr>
        <w:rPr>
          <w:sz w:val="24"/>
          <w:szCs w:val="24"/>
        </w:rPr>
      </w:pPr>
      <w:r>
        <w:rPr>
          <w:sz w:val="24"/>
          <w:szCs w:val="24"/>
        </w:rPr>
        <w:br w:type="page"/>
      </w:r>
    </w:p>
    <w:p w:rsidR="0066174F" w:rsidRDefault="0066174F" w:rsidP="0066174F">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lastRenderedPageBreak/>
        <w:t>2019-20 Smart School Investment Plan</w:t>
      </w:r>
      <w:r w:rsidRPr="00E30226">
        <w:rPr>
          <w:rFonts w:eastAsia="Times New Roman" w:cstheme="minorHAnsi"/>
          <w:b/>
          <w:sz w:val="24"/>
          <w:szCs w:val="24"/>
        </w:rPr>
        <w:t xml:space="preserve"> </w:t>
      </w:r>
      <w:r w:rsidR="0038774F">
        <w:rPr>
          <w:rFonts w:eastAsia="Times New Roman" w:cstheme="minorHAnsi"/>
          <w:b/>
          <w:sz w:val="24"/>
          <w:szCs w:val="24"/>
        </w:rPr>
        <w:t>Committee</w:t>
      </w:r>
      <w:r w:rsidRPr="00E30226">
        <w:rPr>
          <w:rFonts w:eastAsia="Times New Roman" w:cstheme="minorHAnsi"/>
          <w:b/>
          <w:sz w:val="24"/>
          <w:szCs w:val="24"/>
        </w:rPr>
        <w:t>:</w:t>
      </w:r>
    </w:p>
    <w:p w:rsidR="0038774F" w:rsidRDefault="0038774F" w:rsidP="0038774F">
      <w:pPr>
        <w:spacing w:after="0" w:line="240" w:lineRule="auto"/>
        <w:rPr>
          <w:sz w:val="24"/>
          <w:szCs w:val="24"/>
        </w:rPr>
      </w:pPr>
      <w:r>
        <w:rPr>
          <w:sz w:val="24"/>
          <w:szCs w:val="24"/>
        </w:rPr>
        <w:t>Michael Dodge, Superintendent</w:t>
      </w:r>
    </w:p>
    <w:p w:rsidR="0038774F" w:rsidRDefault="0038774F" w:rsidP="0038774F">
      <w:pPr>
        <w:spacing w:after="0" w:line="240" w:lineRule="auto"/>
        <w:rPr>
          <w:sz w:val="24"/>
          <w:szCs w:val="24"/>
        </w:rPr>
      </w:pPr>
      <w:r>
        <w:rPr>
          <w:sz w:val="24"/>
          <w:szCs w:val="24"/>
        </w:rPr>
        <w:t>Joseph Butler, Business Manager</w:t>
      </w:r>
    </w:p>
    <w:p w:rsidR="0038774F" w:rsidRDefault="0038774F" w:rsidP="0038774F">
      <w:pPr>
        <w:spacing w:after="0" w:line="240" w:lineRule="auto"/>
        <w:rPr>
          <w:sz w:val="24"/>
          <w:szCs w:val="24"/>
        </w:rPr>
      </w:pPr>
      <w:r>
        <w:rPr>
          <w:sz w:val="24"/>
          <w:szCs w:val="24"/>
        </w:rPr>
        <w:t>Chelsey Aylor, PreK-12 Principal/Director of Curriculum &amp; Instruction</w:t>
      </w:r>
    </w:p>
    <w:p w:rsidR="0038774F" w:rsidRDefault="0038774F" w:rsidP="0038774F">
      <w:pPr>
        <w:spacing w:after="0" w:line="240" w:lineRule="auto"/>
        <w:rPr>
          <w:sz w:val="24"/>
          <w:szCs w:val="24"/>
        </w:rPr>
      </w:pPr>
      <w:r>
        <w:rPr>
          <w:sz w:val="24"/>
          <w:szCs w:val="24"/>
        </w:rPr>
        <w:t>Eric Talbot, PreK-12 Assistant Principal</w:t>
      </w:r>
    </w:p>
    <w:p w:rsidR="0038774F" w:rsidRDefault="0038774F" w:rsidP="0038774F">
      <w:pPr>
        <w:spacing w:after="0" w:line="240" w:lineRule="auto"/>
        <w:rPr>
          <w:sz w:val="24"/>
          <w:szCs w:val="24"/>
        </w:rPr>
      </w:pPr>
      <w:r>
        <w:rPr>
          <w:sz w:val="24"/>
          <w:szCs w:val="24"/>
        </w:rPr>
        <w:t>Anne West, Director of Special Education/Curriculum Coordinator</w:t>
      </w:r>
    </w:p>
    <w:p w:rsidR="0038774F" w:rsidRDefault="0038774F" w:rsidP="0038774F">
      <w:pPr>
        <w:spacing w:after="0" w:line="240" w:lineRule="auto"/>
        <w:rPr>
          <w:sz w:val="24"/>
          <w:szCs w:val="24"/>
        </w:rPr>
      </w:pPr>
      <w:r>
        <w:rPr>
          <w:sz w:val="24"/>
          <w:szCs w:val="24"/>
        </w:rPr>
        <w:t>Betsy Hardy, Director of Technology/District Data Coordinator</w:t>
      </w:r>
    </w:p>
    <w:p w:rsidR="0038774F" w:rsidRDefault="0038774F" w:rsidP="0038774F">
      <w:pPr>
        <w:spacing w:after="0" w:line="240" w:lineRule="auto"/>
        <w:rPr>
          <w:sz w:val="24"/>
          <w:szCs w:val="24"/>
        </w:rPr>
      </w:pPr>
      <w:r>
        <w:rPr>
          <w:sz w:val="24"/>
          <w:szCs w:val="24"/>
        </w:rPr>
        <w:t>William Kelley, Guidance Counselor</w:t>
      </w:r>
    </w:p>
    <w:p w:rsidR="0038774F" w:rsidRDefault="0038774F" w:rsidP="0038774F">
      <w:pPr>
        <w:spacing w:after="0" w:line="240" w:lineRule="auto"/>
        <w:rPr>
          <w:sz w:val="24"/>
          <w:szCs w:val="24"/>
        </w:rPr>
      </w:pPr>
      <w:r>
        <w:rPr>
          <w:sz w:val="24"/>
          <w:szCs w:val="24"/>
        </w:rPr>
        <w:t>Mike Burr, Microcomputer Technician</w:t>
      </w:r>
    </w:p>
    <w:p w:rsidR="0038774F" w:rsidRDefault="0038774F" w:rsidP="0038774F">
      <w:pPr>
        <w:spacing w:after="0" w:line="240" w:lineRule="auto"/>
        <w:rPr>
          <w:sz w:val="24"/>
          <w:szCs w:val="24"/>
        </w:rPr>
      </w:pPr>
      <w:r>
        <w:rPr>
          <w:sz w:val="24"/>
          <w:szCs w:val="24"/>
        </w:rPr>
        <w:t>Bonnie Wagner, Special Education Teacher and Parent</w:t>
      </w:r>
    </w:p>
    <w:p w:rsidR="0038774F" w:rsidRDefault="0038774F" w:rsidP="0038774F">
      <w:pPr>
        <w:spacing w:after="0" w:line="240" w:lineRule="auto"/>
        <w:rPr>
          <w:sz w:val="24"/>
          <w:szCs w:val="24"/>
        </w:rPr>
      </w:pPr>
      <w:r>
        <w:rPr>
          <w:sz w:val="24"/>
          <w:szCs w:val="24"/>
        </w:rPr>
        <w:t>Eileen Anderson, Technology Teacher and Parent</w:t>
      </w:r>
    </w:p>
    <w:p w:rsidR="0038774F" w:rsidRDefault="0038774F" w:rsidP="0038774F">
      <w:pPr>
        <w:spacing w:after="0" w:line="240" w:lineRule="auto"/>
        <w:rPr>
          <w:sz w:val="24"/>
          <w:szCs w:val="24"/>
        </w:rPr>
      </w:pPr>
      <w:r>
        <w:rPr>
          <w:sz w:val="24"/>
          <w:szCs w:val="24"/>
        </w:rPr>
        <w:t>Laura Sisson, Community Member</w:t>
      </w:r>
    </w:p>
    <w:p w:rsidR="0038774F" w:rsidRDefault="0038774F" w:rsidP="0038774F">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2019-20 Smart School Investment Plan</w:t>
      </w:r>
      <w:r w:rsidRPr="00E30226">
        <w:rPr>
          <w:rFonts w:eastAsia="Times New Roman" w:cstheme="minorHAnsi"/>
          <w:b/>
          <w:sz w:val="24"/>
          <w:szCs w:val="24"/>
        </w:rPr>
        <w:t xml:space="preserve"> </w:t>
      </w:r>
      <w:r>
        <w:rPr>
          <w:rFonts w:eastAsia="Times New Roman" w:cstheme="minorHAnsi"/>
          <w:b/>
          <w:sz w:val="24"/>
          <w:szCs w:val="24"/>
        </w:rPr>
        <w:t>Development</w:t>
      </w:r>
      <w:r w:rsidRPr="00E30226">
        <w:rPr>
          <w:rFonts w:eastAsia="Times New Roman" w:cstheme="minorHAnsi"/>
          <w:b/>
          <w:sz w:val="24"/>
          <w:szCs w:val="24"/>
        </w:rPr>
        <w:t>:</w:t>
      </w:r>
    </w:p>
    <w:p w:rsidR="0066174F" w:rsidRPr="0066174F" w:rsidRDefault="0066174F" w:rsidP="0066174F">
      <w:pPr>
        <w:spacing w:before="100" w:beforeAutospacing="1" w:after="100" w:afterAutospacing="1" w:line="240" w:lineRule="auto"/>
        <w:rPr>
          <w:rFonts w:eastAsia="Times New Roman" w:cstheme="minorHAnsi"/>
          <w:sz w:val="24"/>
          <w:szCs w:val="24"/>
        </w:rPr>
      </w:pPr>
      <w:r w:rsidRPr="0066174F">
        <w:rPr>
          <w:rFonts w:eastAsia="Times New Roman" w:cstheme="minorHAnsi"/>
          <w:sz w:val="24"/>
          <w:szCs w:val="24"/>
        </w:rPr>
        <w:t xml:space="preserve">The Fillmore Central School Smart Schools Bond Committee </w:t>
      </w:r>
      <w:r>
        <w:rPr>
          <w:rFonts w:eastAsia="Times New Roman" w:cstheme="minorHAnsi"/>
          <w:sz w:val="24"/>
          <w:szCs w:val="24"/>
        </w:rPr>
        <w:t>met across three meetings to develop the 2</w:t>
      </w:r>
      <w:r w:rsidRPr="0066174F">
        <w:rPr>
          <w:rFonts w:eastAsia="Times New Roman" w:cstheme="minorHAnsi"/>
          <w:sz w:val="24"/>
          <w:szCs w:val="24"/>
          <w:vertAlign w:val="superscript"/>
        </w:rPr>
        <w:t>nd</w:t>
      </w:r>
      <w:r>
        <w:rPr>
          <w:rFonts w:eastAsia="Times New Roman" w:cstheme="minorHAnsi"/>
          <w:sz w:val="24"/>
          <w:szCs w:val="24"/>
        </w:rPr>
        <w:t xml:space="preserve"> round of the Smart School Investment Plan.  With the Technology Mission and Vision in mind, the committee </w:t>
      </w:r>
      <w:r w:rsidR="0038774F">
        <w:rPr>
          <w:rFonts w:eastAsia="Times New Roman" w:cstheme="minorHAnsi"/>
          <w:sz w:val="24"/>
          <w:szCs w:val="24"/>
        </w:rPr>
        <w:t>established</w:t>
      </w:r>
      <w:r>
        <w:rPr>
          <w:rFonts w:eastAsia="Times New Roman" w:cstheme="minorHAnsi"/>
          <w:sz w:val="24"/>
          <w:szCs w:val="24"/>
        </w:rPr>
        <w:t xml:space="preserve"> </w:t>
      </w:r>
      <w:r w:rsidR="0038774F">
        <w:rPr>
          <w:rFonts w:eastAsia="Times New Roman" w:cstheme="minorHAnsi"/>
          <w:sz w:val="24"/>
          <w:szCs w:val="24"/>
        </w:rPr>
        <w:t>the</w:t>
      </w:r>
      <w:r w:rsidR="00203C17">
        <w:rPr>
          <w:rFonts w:eastAsia="Times New Roman" w:cstheme="minorHAnsi"/>
          <w:sz w:val="24"/>
          <w:szCs w:val="24"/>
        </w:rPr>
        <w:t xml:space="preserve"> SSIP to upgrade</w:t>
      </w:r>
      <w:r>
        <w:rPr>
          <w:rFonts w:eastAsia="Times New Roman" w:cstheme="minorHAnsi"/>
          <w:sz w:val="24"/>
          <w:szCs w:val="24"/>
        </w:rPr>
        <w:t xml:space="preserve"> classroom learning technology and high-tech security at Fillmore CSD.  The meetings were held </w:t>
      </w:r>
      <w:r w:rsidRPr="0066174F">
        <w:rPr>
          <w:rFonts w:eastAsia="Times New Roman" w:cstheme="minorHAnsi"/>
          <w:sz w:val="24"/>
          <w:szCs w:val="24"/>
        </w:rPr>
        <w:t xml:space="preserve">September 24, October 9, and October 11, 2019, to </w:t>
      </w:r>
      <w:r w:rsidR="00203C17" w:rsidRPr="0066174F">
        <w:rPr>
          <w:rFonts w:eastAsia="Times New Roman" w:cstheme="minorHAnsi"/>
          <w:sz w:val="24"/>
          <w:szCs w:val="24"/>
        </w:rPr>
        <w:t>advance</w:t>
      </w:r>
      <w:r w:rsidRPr="0066174F">
        <w:rPr>
          <w:rFonts w:eastAsia="Times New Roman" w:cstheme="minorHAnsi"/>
          <w:sz w:val="24"/>
          <w:szCs w:val="24"/>
        </w:rPr>
        <w:t xml:space="preserve"> the Smart School Investment Plan.</w:t>
      </w:r>
    </w:p>
    <w:p w:rsidR="0066174F" w:rsidRPr="0038774F" w:rsidRDefault="0038774F" w:rsidP="0038774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On September 24, 2019, the </w:t>
      </w:r>
      <w:r w:rsidR="0066174F" w:rsidRPr="0038774F">
        <w:rPr>
          <w:rFonts w:eastAsia="Times New Roman" w:cstheme="minorHAnsi"/>
          <w:sz w:val="24"/>
          <w:szCs w:val="24"/>
        </w:rPr>
        <w:t>Fillmore Central School Board of Education reviewed the preliminary SSIP during public comment.</w:t>
      </w:r>
    </w:p>
    <w:p w:rsidR="00E30226" w:rsidRPr="00E30226" w:rsidRDefault="00E30226" w:rsidP="00E30226">
      <w:pPr>
        <w:rPr>
          <w:rFonts w:cstheme="minorHAnsi"/>
          <w:sz w:val="24"/>
          <w:szCs w:val="24"/>
        </w:rPr>
      </w:pPr>
      <w:r w:rsidRPr="00E30226">
        <w:rPr>
          <w:rFonts w:cstheme="minorHAnsi"/>
          <w:b/>
          <w:sz w:val="24"/>
          <w:szCs w:val="24"/>
        </w:rPr>
        <w:t>Technology Mission</w:t>
      </w:r>
      <w:r>
        <w:rPr>
          <w:rFonts w:cstheme="minorHAnsi"/>
          <w:b/>
          <w:sz w:val="24"/>
          <w:szCs w:val="24"/>
        </w:rPr>
        <w:t xml:space="preserve"> Statement</w:t>
      </w:r>
      <w:r w:rsidRPr="00E30226">
        <w:rPr>
          <w:rFonts w:cstheme="minorHAnsi"/>
          <w:b/>
          <w:sz w:val="24"/>
          <w:szCs w:val="24"/>
        </w:rPr>
        <w:t>:</w:t>
      </w:r>
      <w:r w:rsidRPr="00E30226">
        <w:rPr>
          <w:rFonts w:cstheme="minorHAnsi"/>
          <w:sz w:val="24"/>
          <w:szCs w:val="24"/>
        </w:rPr>
        <w:t xml:space="preserve">  The mission of Fillmore Central School District is to provide a student centered and community supported learning environment that enables students to achieve personal excellence, both academically and behaviorally, and fosters life-long learners who are responsible, caring, and productive citizens.  FCS will be a model regional school where all students learn, grow, and succeed, by using technology as a learning tool, by providing diverse learning opportunities, by inspiring academic excellence and by maintaining fiscal stability.</w:t>
      </w:r>
    </w:p>
    <w:p w:rsidR="00E30226" w:rsidRPr="00E30226" w:rsidRDefault="00E30226" w:rsidP="00E30226">
      <w:pPr>
        <w:pStyle w:val="NormalWeb"/>
        <w:rPr>
          <w:rFonts w:asciiTheme="minorHAnsi" w:hAnsiTheme="minorHAnsi" w:cstheme="minorHAnsi"/>
        </w:rPr>
      </w:pPr>
      <w:r w:rsidRPr="00E30226">
        <w:rPr>
          <w:rFonts w:asciiTheme="minorHAnsi" w:hAnsiTheme="minorHAnsi" w:cstheme="minorHAnsi"/>
          <w:b/>
        </w:rPr>
        <w:t>Technology Vision Statement:</w:t>
      </w:r>
      <w:r w:rsidRPr="00E30226">
        <w:rPr>
          <w:rFonts w:asciiTheme="minorHAnsi" w:hAnsiTheme="minorHAnsi" w:cstheme="minorHAnsi"/>
        </w:rPr>
        <w:t xml:space="preserve">  Fillmore Central School's vision for the Board of Education, administrators, teachers and staff includes:</w:t>
      </w:r>
    </w:p>
    <w:p w:rsidR="00E30226" w:rsidRPr="00E30226" w:rsidRDefault="00E30226" w:rsidP="00E30226">
      <w:pPr>
        <w:numPr>
          <w:ilvl w:val="0"/>
          <w:numId w:val="1"/>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Instruction and learning:  increase student motivation to learn by increasing student engagement, making instruction more meaningful, relevant, and rigorous, with the result of increasing student achievement across all grade levels through the use of technology. </w:t>
      </w:r>
    </w:p>
    <w:p w:rsidR="00E30226" w:rsidRPr="00E30226" w:rsidRDefault="00E30226" w:rsidP="00E30226">
      <w:pPr>
        <w:numPr>
          <w:ilvl w:val="0"/>
          <w:numId w:val="1"/>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Technology:  increase the implementation and use of technology across all grade levels.  </w:t>
      </w:r>
    </w:p>
    <w:p w:rsidR="00E30226" w:rsidRPr="00E30226" w:rsidRDefault="00E30226" w:rsidP="00E30226">
      <w:pPr>
        <w:numPr>
          <w:ilvl w:val="0"/>
          <w:numId w:val="1"/>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lastRenderedPageBreak/>
        <w:t>Culture:  Maintain a safe and secure learning environment with the use of technology that meets the academic, physical and emotional needs of all students and staff members.  </w:t>
      </w:r>
    </w:p>
    <w:p w:rsidR="00E30226" w:rsidRPr="00E30226" w:rsidRDefault="00E30226" w:rsidP="00E30226">
      <w:pPr>
        <w:numPr>
          <w:ilvl w:val="0"/>
          <w:numId w:val="1"/>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Communication:  identify and implement new means of communication with the community regarding the school mission and vision through the use of technology.</w:t>
      </w:r>
    </w:p>
    <w:p w:rsidR="00E30226" w:rsidRPr="00E30226" w:rsidRDefault="00E30226" w:rsidP="00E30226">
      <w:p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Through diversified and engaging curriculum, FCS students will:</w:t>
      </w:r>
    </w:p>
    <w:p w:rsidR="00E30226" w:rsidRPr="00E30226" w:rsidRDefault="00E30226" w:rsidP="00E30226">
      <w:pPr>
        <w:numPr>
          <w:ilvl w:val="0"/>
          <w:numId w:val="2"/>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think critically by gathering and processing information through various sources, strategies and technologies.</w:t>
      </w:r>
    </w:p>
    <w:p w:rsidR="00E30226" w:rsidRPr="00E30226" w:rsidRDefault="00E30226" w:rsidP="00E30226">
      <w:pPr>
        <w:numPr>
          <w:ilvl w:val="0"/>
          <w:numId w:val="2"/>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demonstrate responsible citizenship by interacting with society in a cooperative, productive, safe and informed manner.</w:t>
      </w:r>
    </w:p>
    <w:p w:rsidR="00E30226" w:rsidRDefault="00E30226" w:rsidP="00E30226">
      <w:pPr>
        <w:numPr>
          <w:ilvl w:val="0"/>
          <w:numId w:val="2"/>
        </w:numPr>
        <w:spacing w:before="100" w:beforeAutospacing="1" w:after="100" w:afterAutospacing="1" w:line="240" w:lineRule="auto"/>
        <w:rPr>
          <w:rFonts w:eastAsia="Times New Roman" w:cstheme="minorHAnsi"/>
          <w:sz w:val="24"/>
          <w:szCs w:val="24"/>
        </w:rPr>
      </w:pPr>
      <w:r w:rsidRPr="00E30226">
        <w:rPr>
          <w:rFonts w:eastAsia="Times New Roman" w:cstheme="minorHAnsi"/>
          <w:sz w:val="24"/>
          <w:szCs w:val="24"/>
        </w:rPr>
        <w:t>communicate effectively by using a variety of media and methods for diverse audiences and purposes.</w:t>
      </w:r>
    </w:p>
    <w:p w:rsidR="0066174F" w:rsidRPr="0066174F" w:rsidRDefault="0038774F" w:rsidP="0066174F">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Smart School</w:t>
      </w:r>
      <w:r w:rsidR="0066174F" w:rsidRPr="0066174F">
        <w:rPr>
          <w:rFonts w:eastAsia="Times New Roman" w:cstheme="minorHAnsi"/>
          <w:b/>
          <w:sz w:val="24"/>
          <w:szCs w:val="24"/>
        </w:rPr>
        <w:t xml:space="preserve"> Investment Plan Goals:</w:t>
      </w:r>
      <w:r w:rsidR="0066174F">
        <w:rPr>
          <w:rFonts w:eastAsia="Times New Roman" w:cstheme="minorHAnsi"/>
          <w:b/>
          <w:sz w:val="24"/>
          <w:szCs w:val="24"/>
        </w:rPr>
        <w:t xml:space="preserve">  </w:t>
      </w:r>
    </w:p>
    <w:p w:rsidR="00E30226" w:rsidRPr="00E30226" w:rsidRDefault="00E30226" w:rsidP="00E30226">
      <w:pPr>
        <w:rPr>
          <w:rFonts w:cstheme="minorHAnsi"/>
          <w:sz w:val="24"/>
          <w:szCs w:val="24"/>
        </w:rPr>
      </w:pPr>
      <w:r w:rsidRPr="00E30226">
        <w:rPr>
          <w:rFonts w:cstheme="minorHAnsi"/>
          <w:sz w:val="24"/>
          <w:szCs w:val="24"/>
        </w:rPr>
        <w:t xml:space="preserve">Goal 1:  </w:t>
      </w:r>
      <w:r w:rsidR="0038774F">
        <w:rPr>
          <w:rFonts w:cstheme="minorHAnsi"/>
          <w:sz w:val="24"/>
          <w:szCs w:val="24"/>
        </w:rPr>
        <w:t>Maintain</w:t>
      </w:r>
      <w:r w:rsidRPr="00E30226">
        <w:rPr>
          <w:rFonts w:cstheme="minorHAnsi"/>
          <w:sz w:val="24"/>
          <w:szCs w:val="24"/>
        </w:rPr>
        <w:t xml:space="preserve"> the implementation and use of technology across all grade levels, while sustaining a robust and reliable network</w:t>
      </w:r>
      <w:r w:rsidR="0038774F">
        <w:rPr>
          <w:rFonts w:cstheme="minorHAnsi"/>
          <w:sz w:val="24"/>
          <w:szCs w:val="24"/>
        </w:rPr>
        <w:t xml:space="preserve"> through the replacement of 1:1 laptops and iPads for </w:t>
      </w:r>
      <w:r w:rsidR="00203C17">
        <w:rPr>
          <w:rFonts w:cstheme="minorHAnsi"/>
          <w:sz w:val="24"/>
          <w:szCs w:val="24"/>
        </w:rPr>
        <w:t>four</w:t>
      </w:r>
      <w:r w:rsidR="004B4406">
        <w:rPr>
          <w:rFonts w:cstheme="minorHAnsi"/>
          <w:sz w:val="24"/>
          <w:szCs w:val="24"/>
        </w:rPr>
        <w:t xml:space="preserve"> grade levels and </w:t>
      </w:r>
      <w:r w:rsidR="0038774F">
        <w:rPr>
          <w:rFonts w:cstheme="minorHAnsi"/>
          <w:sz w:val="24"/>
          <w:szCs w:val="24"/>
        </w:rPr>
        <w:t>upgrading te</w:t>
      </w:r>
      <w:r w:rsidR="004B4406">
        <w:rPr>
          <w:rFonts w:cstheme="minorHAnsi"/>
          <w:sz w:val="24"/>
          <w:szCs w:val="24"/>
        </w:rPr>
        <w:t>acher end-of-life SMART Boards and purchasing new Boards for teachers currently without an interactive board option.</w:t>
      </w:r>
    </w:p>
    <w:p w:rsidR="00E30226" w:rsidRDefault="0038774F" w:rsidP="00E30226">
      <w:pPr>
        <w:rPr>
          <w:rFonts w:cstheme="minorHAnsi"/>
          <w:sz w:val="24"/>
          <w:szCs w:val="24"/>
        </w:rPr>
      </w:pPr>
      <w:r>
        <w:rPr>
          <w:rFonts w:cstheme="minorHAnsi"/>
          <w:sz w:val="24"/>
          <w:szCs w:val="24"/>
        </w:rPr>
        <w:t>Goal 2:</w:t>
      </w:r>
      <w:r w:rsidR="00E30226" w:rsidRPr="00E30226">
        <w:rPr>
          <w:rFonts w:cstheme="minorHAnsi"/>
          <w:sz w:val="24"/>
          <w:szCs w:val="24"/>
        </w:rPr>
        <w:t xml:space="preserve">  </w:t>
      </w:r>
      <w:r>
        <w:rPr>
          <w:rFonts w:cstheme="minorHAnsi"/>
          <w:sz w:val="24"/>
          <w:szCs w:val="24"/>
        </w:rPr>
        <w:t>Maintain</w:t>
      </w:r>
      <w:r w:rsidR="00E30226" w:rsidRPr="00E30226">
        <w:rPr>
          <w:rFonts w:cstheme="minorHAnsi"/>
          <w:sz w:val="24"/>
          <w:szCs w:val="24"/>
        </w:rPr>
        <w:t xml:space="preserve"> a safe and secure school campus for all students </w:t>
      </w:r>
      <w:r>
        <w:rPr>
          <w:rFonts w:cstheme="minorHAnsi"/>
          <w:sz w:val="24"/>
          <w:szCs w:val="24"/>
        </w:rPr>
        <w:t xml:space="preserve">by </w:t>
      </w:r>
      <w:r w:rsidR="00BF12AE">
        <w:rPr>
          <w:rFonts w:cstheme="minorHAnsi"/>
          <w:sz w:val="24"/>
          <w:szCs w:val="24"/>
        </w:rPr>
        <w:t>upgrading 50 security c</w:t>
      </w:r>
      <w:r w:rsidR="0088598C">
        <w:rPr>
          <w:rFonts w:cstheme="minorHAnsi"/>
          <w:sz w:val="24"/>
          <w:szCs w:val="24"/>
        </w:rPr>
        <w:t xml:space="preserve">ameras </w:t>
      </w:r>
      <w:r>
        <w:rPr>
          <w:rFonts w:cstheme="minorHAnsi"/>
          <w:sz w:val="24"/>
          <w:szCs w:val="24"/>
        </w:rPr>
        <w:t>in the school building</w:t>
      </w:r>
      <w:r w:rsidR="004B4406">
        <w:rPr>
          <w:rFonts w:cstheme="minorHAnsi"/>
          <w:sz w:val="24"/>
          <w:szCs w:val="24"/>
        </w:rPr>
        <w:t xml:space="preserve"> for better and enhanced coverage</w:t>
      </w:r>
      <w:r>
        <w:rPr>
          <w:rFonts w:cstheme="minorHAnsi"/>
          <w:sz w:val="24"/>
          <w:szCs w:val="24"/>
        </w:rPr>
        <w:t>.</w:t>
      </w:r>
    </w:p>
    <w:p w:rsidR="00F57FA4" w:rsidRDefault="00E034B8" w:rsidP="00E30226">
      <w:pPr>
        <w:rPr>
          <w:rFonts w:cstheme="minorHAnsi"/>
          <w:sz w:val="24"/>
          <w:szCs w:val="24"/>
        </w:rPr>
      </w:pPr>
      <w:r>
        <w:rPr>
          <w:rFonts w:cstheme="minorHAnsi"/>
          <w:sz w:val="24"/>
          <w:szCs w:val="24"/>
        </w:rPr>
        <w:t xml:space="preserve">Fillmore Central School will utilize </w:t>
      </w:r>
      <w:r w:rsidRPr="00203C17">
        <w:rPr>
          <w:rFonts w:cstheme="minorHAnsi"/>
          <w:sz w:val="24"/>
          <w:szCs w:val="24"/>
        </w:rPr>
        <w:t>$</w:t>
      </w:r>
      <w:r w:rsidR="00203C17" w:rsidRPr="00203C17">
        <w:rPr>
          <w:sz w:val="24"/>
          <w:szCs w:val="24"/>
        </w:rPr>
        <w:t>389,525</w:t>
      </w:r>
      <w:r w:rsidR="00203C17">
        <w:rPr>
          <w:b/>
        </w:rPr>
        <w:t xml:space="preserve"> </w:t>
      </w:r>
      <w:r>
        <w:rPr>
          <w:rFonts w:cstheme="minorHAnsi"/>
          <w:sz w:val="24"/>
          <w:szCs w:val="24"/>
        </w:rPr>
        <w:t>of the Smart Schools Bond Act funds allocated t</w:t>
      </w:r>
      <w:r w:rsidR="00203C17">
        <w:rPr>
          <w:rFonts w:cstheme="minorHAnsi"/>
          <w:sz w:val="24"/>
          <w:szCs w:val="24"/>
        </w:rPr>
        <w:t>o Fillmore to purchase $</w:t>
      </w:r>
      <w:r w:rsidR="002B2006">
        <w:rPr>
          <w:rFonts w:cstheme="minorHAnsi"/>
          <w:sz w:val="24"/>
          <w:szCs w:val="24"/>
        </w:rPr>
        <w:t>304,20</w:t>
      </w:r>
      <w:r w:rsidR="00514651">
        <w:rPr>
          <w:rFonts w:cstheme="minorHAnsi"/>
          <w:sz w:val="24"/>
          <w:szCs w:val="24"/>
        </w:rPr>
        <w:t xml:space="preserve">0 </w:t>
      </w:r>
      <w:r w:rsidR="00D10AD0">
        <w:rPr>
          <w:rFonts w:cstheme="minorHAnsi"/>
          <w:sz w:val="24"/>
          <w:szCs w:val="24"/>
        </w:rPr>
        <w:t xml:space="preserve">of </w:t>
      </w:r>
      <w:r>
        <w:rPr>
          <w:rFonts w:cstheme="minorHAnsi"/>
          <w:sz w:val="24"/>
          <w:szCs w:val="24"/>
        </w:rPr>
        <w:t>classroom learning technology and $</w:t>
      </w:r>
      <w:r w:rsidR="002B2006">
        <w:rPr>
          <w:rFonts w:cstheme="minorHAnsi"/>
          <w:sz w:val="24"/>
          <w:szCs w:val="24"/>
        </w:rPr>
        <w:t>85,3</w:t>
      </w:r>
      <w:r w:rsidR="00514651">
        <w:rPr>
          <w:rFonts w:cstheme="minorHAnsi"/>
          <w:sz w:val="24"/>
          <w:szCs w:val="24"/>
        </w:rPr>
        <w:t>25</w:t>
      </w:r>
      <w:r>
        <w:rPr>
          <w:rFonts w:cstheme="minorHAnsi"/>
          <w:sz w:val="24"/>
          <w:szCs w:val="24"/>
        </w:rPr>
        <w:t xml:space="preserve"> </w:t>
      </w:r>
      <w:r w:rsidR="00D10AD0">
        <w:rPr>
          <w:rFonts w:cstheme="minorHAnsi"/>
          <w:sz w:val="24"/>
          <w:szCs w:val="24"/>
        </w:rPr>
        <w:t>of</w:t>
      </w:r>
      <w:r>
        <w:rPr>
          <w:rFonts w:cstheme="minorHAnsi"/>
          <w:sz w:val="24"/>
          <w:szCs w:val="24"/>
        </w:rPr>
        <w:t xml:space="preserve"> high-security </w:t>
      </w:r>
      <w:r w:rsidR="00203C17">
        <w:rPr>
          <w:rFonts w:cstheme="minorHAnsi"/>
          <w:sz w:val="24"/>
          <w:szCs w:val="24"/>
        </w:rPr>
        <w:t xml:space="preserve">cameras.  Please see </w:t>
      </w:r>
      <w:r w:rsidR="00F57FA4">
        <w:rPr>
          <w:rFonts w:cstheme="minorHAnsi"/>
          <w:sz w:val="24"/>
          <w:szCs w:val="24"/>
        </w:rPr>
        <w:t>the table below that itemizes the intended purc</w:t>
      </w:r>
      <w:r w:rsidR="00203C17">
        <w:rPr>
          <w:rFonts w:cstheme="minorHAnsi"/>
          <w:sz w:val="24"/>
          <w:szCs w:val="24"/>
        </w:rPr>
        <w:t>hases to maintain and improve</w:t>
      </w:r>
      <w:r w:rsidR="00F57FA4">
        <w:rPr>
          <w:rFonts w:cstheme="minorHAnsi"/>
          <w:sz w:val="24"/>
          <w:szCs w:val="24"/>
        </w:rPr>
        <w:t xml:space="preserve"> classroom learning technologies and school safety</w:t>
      </w:r>
      <w:r w:rsidR="00203C17">
        <w:rPr>
          <w:rFonts w:cstheme="minorHAnsi"/>
          <w:sz w:val="24"/>
          <w:szCs w:val="24"/>
        </w:rPr>
        <w:t xml:space="preserve"> features</w:t>
      </w:r>
      <w:r w:rsidR="00F57FA4">
        <w:rPr>
          <w:rFonts w:cstheme="minorHAnsi"/>
          <w:sz w:val="24"/>
          <w:szCs w:val="24"/>
        </w:rPr>
        <w:t>.</w:t>
      </w:r>
    </w:p>
    <w:p w:rsidR="004B4406" w:rsidRDefault="004B4406" w:rsidP="00E30226">
      <w:pPr>
        <w:rPr>
          <w:rFonts w:cstheme="minorHAnsi"/>
          <w:sz w:val="24"/>
          <w:szCs w:val="24"/>
        </w:rPr>
      </w:pPr>
    </w:p>
    <w:tbl>
      <w:tblPr>
        <w:tblStyle w:val="TableGrid"/>
        <w:tblW w:w="0" w:type="auto"/>
        <w:tblLook w:val="04A0" w:firstRow="1" w:lastRow="0" w:firstColumn="1" w:lastColumn="0" w:noHBand="0" w:noVBand="1"/>
      </w:tblPr>
      <w:tblGrid>
        <w:gridCol w:w="2785"/>
        <w:gridCol w:w="2520"/>
        <w:gridCol w:w="1080"/>
        <w:gridCol w:w="1620"/>
        <w:gridCol w:w="1345"/>
      </w:tblGrid>
      <w:tr w:rsidR="00F57FA4" w:rsidRPr="00FF2719" w:rsidTr="004B4406">
        <w:tc>
          <w:tcPr>
            <w:tcW w:w="2785" w:type="dxa"/>
            <w:shd w:val="clear" w:color="auto" w:fill="E7E6E6" w:themeFill="background2"/>
          </w:tcPr>
          <w:p w:rsidR="00F57FA4" w:rsidRPr="00FF2719" w:rsidRDefault="00F57FA4" w:rsidP="00477B97">
            <w:pPr>
              <w:rPr>
                <w:b/>
              </w:rPr>
            </w:pPr>
            <w:r>
              <w:rPr>
                <w:rFonts w:cstheme="minorHAnsi"/>
                <w:sz w:val="24"/>
                <w:szCs w:val="24"/>
              </w:rPr>
              <w:t xml:space="preserve"> </w:t>
            </w:r>
            <w:r w:rsidRPr="00FF2719">
              <w:rPr>
                <w:b/>
              </w:rPr>
              <w:t>Type of Expenditure</w:t>
            </w:r>
          </w:p>
        </w:tc>
        <w:tc>
          <w:tcPr>
            <w:tcW w:w="2520" w:type="dxa"/>
            <w:shd w:val="clear" w:color="auto" w:fill="E7E6E6" w:themeFill="background2"/>
          </w:tcPr>
          <w:p w:rsidR="00F57FA4" w:rsidRPr="00FF2719" w:rsidRDefault="00F57FA4" w:rsidP="00477B97">
            <w:pPr>
              <w:rPr>
                <w:b/>
              </w:rPr>
            </w:pPr>
            <w:r w:rsidRPr="00FF2719">
              <w:rPr>
                <w:b/>
              </w:rPr>
              <w:t>Item to be Purchased</w:t>
            </w:r>
          </w:p>
        </w:tc>
        <w:tc>
          <w:tcPr>
            <w:tcW w:w="1080" w:type="dxa"/>
            <w:shd w:val="clear" w:color="auto" w:fill="E7E6E6" w:themeFill="background2"/>
          </w:tcPr>
          <w:p w:rsidR="00F57FA4" w:rsidRPr="00FF2719" w:rsidRDefault="00F57FA4" w:rsidP="00477B97">
            <w:pPr>
              <w:rPr>
                <w:b/>
              </w:rPr>
            </w:pPr>
            <w:r w:rsidRPr="00FF2719">
              <w:rPr>
                <w:b/>
              </w:rPr>
              <w:t>Quantity</w:t>
            </w:r>
          </w:p>
        </w:tc>
        <w:tc>
          <w:tcPr>
            <w:tcW w:w="1620" w:type="dxa"/>
            <w:shd w:val="clear" w:color="auto" w:fill="E7E6E6" w:themeFill="background2"/>
          </w:tcPr>
          <w:p w:rsidR="00F57FA4" w:rsidRPr="00FF2719" w:rsidRDefault="00514651" w:rsidP="00343576">
            <w:pPr>
              <w:rPr>
                <w:b/>
              </w:rPr>
            </w:pPr>
            <w:r>
              <w:rPr>
                <w:b/>
              </w:rPr>
              <w:t xml:space="preserve">Avg. </w:t>
            </w:r>
            <w:r w:rsidR="00822883">
              <w:rPr>
                <w:b/>
              </w:rPr>
              <w:t>Cost/</w:t>
            </w:r>
            <w:r w:rsidR="00343576">
              <w:rPr>
                <w:b/>
              </w:rPr>
              <w:t>I</w:t>
            </w:r>
            <w:r w:rsidR="00F57FA4" w:rsidRPr="00FF2719">
              <w:rPr>
                <w:b/>
              </w:rPr>
              <w:t>tem</w:t>
            </w:r>
          </w:p>
        </w:tc>
        <w:tc>
          <w:tcPr>
            <w:tcW w:w="1345" w:type="dxa"/>
            <w:shd w:val="clear" w:color="auto" w:fill="E7E6E6" w:themeFill="background2"/>
          </w:tcPr>
          <w:p w:rsidR="00F57FA4" w:rsidRPr="00FF2719" w:rsidRDefault="00F57FA4" w:rsidP="00477B97">
            <w:pPr>
              <w:rPr>
                <w:b/>
              </w:rPr>
            </w:pPr>
            <w:r w:rsidRPr="00FF2719">
              <w:rPr>
                <w:b/>
              </w:rPr>
              <w:t>Total Cost</w:t>
            </w:r>
          </w:p>
        </w:tc>
      </w:tr>
      <w:tr w:rsidR="00F57FA4" w:rsidTr="004B4406">
        <w:tc>
          <w:tcPr>
            <w:tcW w:w="2785" w:type="dxa"/>
          </w:tcPr>
          <w:p w:rsidR="00F57FA4" w:rsidRDefault="00F57FA4" w:rsidP="00477B97">
            <w:r>
              <w:t>Laptop Computers</w:t>
            </w:r>
          </w:p>
        </w:tc>
        <w:tc>
          <w:tcPr>
            <w:tcW w:w="2520" w:type="dxa"/>
          </w:tcPr>
          <w:p w:rsidR="00F57FA4" w:rsidRDefault="00F57FA4" w:rsidP="00477B97">
            <w:r>
              <w:t>Dell Latitude 5400 series</w:t>
            </w:r>
          </w:p>
        </w:tc>
        <w:tc>
          <w:tcPr>
            <w:tcW w:w="1080" w:type="dxa"/>
          </w:tcPr>
          <w:p w:rsidR="00F57FA4" w:rsidRDefault="00F57FA4" w:rsidP="00477B97">
            <w:pPr>
              <w:jc w:val="right"/>
            </w:pPr>
            <w:r>
              <w:t>200</w:t>
            </w:r>
          </w:p>
        </w:tc>
        <w:tc>
          <w:tcPr>
            <w:tcW w:w="1620" w:type="dxa"/>
          </w:tcPr>
          <w:p w:rsidR="00F57FA4" w:rsidRDefault="004A05E7" w:rsidP="00477B97">
            <w:pPr>
              <w:jc w:val="right"/>
            </w:pPr>
            <w:r>
              <w:t>700</w:t>
            </w:r>
          </w:p>
        </w:tc>
        <w:tc>
          <w:tcPr>
            <w:tcW w:w="1345" w:type="dxa"/>
          </w:tcPr>
          <w:p w:rsidR="00F57FA4" w:rsidRDefault="004A05E7" w:rsidP="00477B97">
            <w:pPr>
              <w:jc w:val="right"/>
            </w:pPr>
            <w:r>
              <w:t>140</w:t>
            </w:r>
            <w:r w:rsidR="00F57FA4">
              <w:t>,000</w:t>
            </w:r>
          </w:p>
        </w:tc>
      </w:tr>
      <w:tr w:rsidR="00F57FA4" w:rsidTr="004B4406">
        <w:tc>
          <w:tcPr>
            <w:tcW w:w="2785" w:type="dxa"/>
          </w:tcPr>
          <w:p w:rsidR="00F57FA4" w:rsidRDefault="00F57FA4" w:rsidP="00477B97">
            <w:r>
              <w:t>Tablet Computers</w:t>
            </w:r>
          </w:p>
        </w:tc>
        <w:tc>
          <w:tcPr>
            <w:tcW w:w="2520" w:type="dxa"/>
          </w:tcPr>
          <w:p w:rsidR="00F57FA4" w:rsidRDefault="004B4406" w:rsidP="00477B97">
            <w:r>
              <w:t>128</w:t>
            </w:r>
            <w:r w:rsidR="00F57FA4">
              <w:t xml:space="preserve"> GB iPads</w:t>
            </w:r>
          </w:p>
        </w:tc>
        <w:tc>
          <w:tcPr>
            <w:tcW w:w="1080" w:type="dxa"/>
          </w:tcPr>
          <w:p w:rsidR="00F57FA4" w:rsidRDefault="004112EF" w:rsidP="00477B97">
            <w:pPr>
              <w:jc w:val="right"/>
            </w:pPr>
            <w:r>
              <w:t>200</w:t>
            </w:r>
          </w:p>
        </w:tc>
        <w:tc>
          <w:tcPr>
            <w:tcW w:w="1620" w:type="dxa"/>
          </w:tcPr>
          <w:p w:rsidR="00F57FA4" w:rsidRDefault="00F57FA4" w:rsidP="00477B97">
            <w:pPr>
              <w:jc w:val="right"/>
            </w:pPr>
            <w:r>
              <w:t>400</w:t>
            </w:r>
          </w:p>
        </w:tc>
        <w:tc>
          <w:tcPr>
            <w:tcW w:w="1345" w:type="dxa"/>
          </w:tcPr>
          <w:p w:rsidR="00F57FA4" w:rsidRDefault="004112EF" w:rsidP="00477B97">
            <w:pPr>
              <w:jc w:val="right"/>
            </w:pPr>
            <w:r>
              <w:t>8</w:t>
            </w:r>
            <w:r w:rsidR="00F57FA4">
              <w:t>0,000</w:t>
            </w:r>
          </w:p>
        </w:tc>
      </w:tr>
      <w:tr w:rsidR="00F57FA4" w:rsidTr="004B4406">
        <w:tc>
          <w:tcPr>
            <w:tcW w:w="2785" w:type="dxa"/>
          </w:tcPr>
          <w:p w:rsidR="00F57FA4" w:rsidRDefault="00F57FA4" w:rsidP="00477B97">
            <w:r>
              <w:t>Interactive Whiteboards</w:t>
            </w:r>
          </w:p>
        </w:tc>
        <w:tc>
          <w:tcPr>
            <w:tcW w:w="2520" w:type="dxa"/>
          </w:tcPr>
          <w:p w:rsidR="00F57FA4" w:rsidRDefault="004713EE" w:rsidP="00477B97">
            <w:r>
              <w:t>Interactive Boards</w:t>
            </w:r>
          </w:p>
        </w:tc>
        <w:tc>
          <w:tcPr>
            <w:tcW w:w="1080" w:type="dxa"/>
          </w:tcPr>
          <w:p w:rsidR="00F57FA4" w:rsidRDefault="002B2006" w:rsidP="004A05E7">
            <w:pPr>
              <w:jc w:val="right"/>
            </w:pPr>
            <w:r>
              <w:t>18</w:t>
            </w:r>
          </w:p>
        </w:tc>
        <w:tc>
          <w:tcPr>
            <w:tcW w:w="1620" w:type="dxa"/>
          </w:tcPr>
          <w:p w:rsidR="00F57FA4" w:rsidRDefault="00366A07" w:rsidP="00477B97">
            <w:pPr>
              <w:jc w:val="right"/>
            </w:pPr>
            <w:r>
              <w:t>3,900</w:t>
            </w:r>
          </w:p>
        </w:tc>
        <w:tc>
          <w:tcPr>
            <w:tcW w:w="1345" w:type="dxa"/>
          </w:tcPr>
          <w:p w:rsidR="00F57FA4" w:rsidRDefault="002B2006" w:rsidP="004A05E7">
            <w:pPr>
              <w:jc w:val="right"/>
            </w:pPr>
            <w:r>
              <w:t>70,2</w:t>
            </w:r>
            <w:r w:rsidR="00F57FA4">
              <w:t>00</w:t>
            </w:r>
          </w:p>
        </w:tc>
      </w:tr>
      <w:tr w:rsidR="00F57FA4" w:rsidTr="004B4406">
        <w:tc>
          <w:tcPr>
            <w:tcW w:w="2785" w:type="dxa"/>
          </w:tcPr>
          <w:p w:rsidR="00F57FA4" w:rsidRDefault="00F57FA4" w:rsidP="00477B97">
            <w:r>
              <w:t xml:space="preserve">Other Costs </w:t>
            </w:r>
          </w:p>
        </w:tc>
        <w:tc>
          <w:tcPr>
            <w:tcW w:w="2520" w:type="dxa"/>
          </w:tcPr>
          <w:p w:rsidR="00F57FA4" w:rsidRDefault="004B4406" w:rsidP="004B4406">
            <w:r>
              <w:t>Laptop Cases</w:t>
            </w:r>
          </w:p>
        </w:tc>
        <w:tc>
          <w:tcPr>
            <w:tcW w:w="1080" w:type="dxa"/>
          </w:tcPr>
          <w:p w:rsidR="00F57FA4" w:rsidRDefault="00F57FA4" w:rsidP="00477B97">
            <w:pPr>
              <w:jc w:val="right"/>
            </w:pPr>
            <w:r>
              <w:t>200</w:t>
            </w:r>
          </w:p>
        </w:tc>
        <w:tc>
          <w:tcPr>
            <w:tcW w:w="1620" w:type="dxa"/>
          </w:tcPr>
          <w:p w:rsidR="00F57FA4" w:rsidRDefault="00F57FA4" w:rsidP="00477B97">
            <w:pPr>
              <w:jc w:val="right"/>
            </w:pPr>
            <w:r>
              <w:t>30</w:t>
            </w:r>
          </w:p>
        </w:tc>
        <w:tc>
          <w:tcPr>
            <w:tcW w:w="1345" w:type="dxa"/>
          </w:tcPr>
          <w:p w:rsidR="00F57FA4" w:rsidRDefault="00F57FA4" w:rsidP="00477B97">
            <w:pPr>
              <w:jc w:val="right"/>
            </w:pPr>
            <w:r>
              <w:t>6,000</w:t>
            </w:r>
          </w:p>
        </w:tc>
      </w:tr>
      <w:tr w:rsidR="00F57FA4" w:rsidTr="004B4406">
        <w:tc>
          <w:tcPr>
            <w:tcW w:w="2785" w:type="dxa"/>
          </w:tcPr>
          <w:p w:rsidR="00F57FA4" w:rsidRDefault="00F57FA4" w:rsidP="00477B97">
            <w:r>
              <w:t>Other Costs</w:t>
            </w:r>
          </w:p>
        </w:tc>
        <w:tc>
          <w:tcPr>
            <w:tcW w:w="2520" w:type="dxa"/>
          </w:tcPr>
          <w:p w:rsidR="00F57FA4" w:rsidRDefault="00F57FA4" w:rsidP="00477B97">
            <w:r>
              <w:t>iPad Silicone Cases</w:t>
            </w:r>
          </w:p>
        </w:tc>
        <w:tc>
          <w:tcPr>
            <w:tcW w:w="1080" w:type="dxa"/>
          </w:tcPr>
          <w:p w:rsidR="00F57FA4" w:rsidRDefault="004112EF" w:rsidP="00477B97">
            <w:pPr>
              <w:jc w:val="right"/>
            </w:pPr>
            <w:r>
              <w:t>200</w:t>
            </w:r>
          </w:p>
        </w:tc>
        <w:tc>
          <w:tcPr>
            <w:tcW w:w="1620" w:type="dxa"/>
          </w:tcPr>
          <w:p w:rsidR="00F57FA4" w:rsidRDefault="00F57FA4" w:rsidP="00477B97">
            <w:pPr>
              <w:jc w:val="right"/>
            </w:pPr>
            <w:r>
              <w:t>30</w:t>
            </w:r>
          </w:p>
        </w:tc>
        <w:tc>
          <w:tcPr>
            <w:tcW w:w="1345" w:type="dxa"/>
          </w:tcPr>
          <w:p w:rsidR="00F57FA4" w:rsidRDefault="004112EF" w:rsidP="00477B97">
            <w:pPr>
              <w:jc w:val="right"/>
            </w:pPr>
            <w:r>
              <w:t>6,0</w:t>
            </w:r>
            <w:r w:rsidR="00203C17">
              <w:t>00</w:t>
            </w:r>
          </w:p>
        </w:tc>
      </w:tr>
      <w:tr w:rsidR="004A05E7" w:rsidTr="004B4406">
        <w:tc>
          <w:tcPr>
            <w:tcW w:w="2785" w:type="dxa"/>
          </w:tcPr>
          <w:p w:rsidR="004A05E7" w:rsidRPr="00A54251" w:rsidRDefault="00A54251" w:rsidP="00477B97">
            <w:r w:rsidRPr="00A54251">
              <w:t>Other Costs</w:t>
            </w:r>
          </w:p>
        </w:tc>
        <w:tc>
          <w:tcPr>
            <w:tcW w:w="2520" w:type="dxa"/>
          </w:tcPr>
          <w:p w:rsidR="004A05E7" w:rsidRPr="00A54251" w:rsidRDefault="004B4406" w:rsidP="00477B97">
            <w:r>
              <w:t xml:space="preserve">Dell Latitude </w:t>
            </w:r>
            <w:r w:rsidR="004112EF">
              <w:t>Chargers</w:t>
            </w:r>
          </w:p>
        </w:tc>
        <w:tc>
          <w:tcPr>
            <w:tcW w:w="1080" w:type="dxa"/>
          </w:tcPr>
          <w:p w:rsidR="004A05E7" w:rsidRPr="004112EF" w:rsidRDefault="002B2006" w:rsidP="00477B97">
            <w:pPr>
              <w:jc w:val="right"/>
            </w:pPr>
            <w:r>
              <w:t>50</w:t>
            </w:r>
          </w:p>
        </w:tc>
        <w:tc>
          <w:tcPr>
            <w:tcW w:w="1620" w:type="dxa"/>
          </w:tcPr>
          <w:p w:rsidR="004A05E7" w:rsidRPr="004112EF" w:rsidRDefault="002B2006" w:rsidP="00477B97">
            <w:pPr>
              <w:jc w:val="right"/>
            </w:pPr>
            <w:r>
              <w:t>4</w:t>
            </w:r>
            <w:r w:rsidR="004112EF" w:rsidRPr="004112EF">
              <w:t>0</w:t>
            </w:r>
          </w:p>
        </w:tc>
        <w:tc>
          <w:tcPr>
            <w:tcW w:w="1345" w:type="dxa"/>
          </w:tcPr>
          <w:p w:rsidR="004A05E7" w:rsidRPr="00A54251" w:rsidRDefault="004112EF" w:rsidP="00477B97">
            <w:pPr>
              <w:jc w:val="right"/>
            </w:pPr>
            <w:r>
              <w:t>2</w:t>
            </w:r>
            <w:r w:rsidR="00A54251" w:rsidRPr="00A54251">
              <w:t>,000</w:t>
            </w:r>
          </w:p>
        </w:tc>
      </w:tr>
      <w:tr w:rsidR="00822883" w:rsidTr="003A4347">
        <w:tc>
          <w:tcPr>
            <w:tcW w:w="8005" w:type="dxa"/>
            <w:gridSpan w:val="4"/>
          </w:tcPr>
          <w:p w:rsidR="00822883" w:rsidRPr="00FF2719" w:rsidRDefault="00822883" w:rsidP="00477B97">
            <w:pPr>
              <w:jc w:val="right"/>
              <w:rPr>
                <w:b/>
              </w:rPr>
            </w:pPr>
            <w:r w:rsidRPr="00FF2719">
              <w:rPr>
                <w:b/>
              </w:rPr>
              <w:t>Total Sub-Allocation for Classroom Technology</w:t>
            </w:r>
          </w:p>
        </w:tc>
        <w:tc>
          <w:tcPr>
            <w:tcW w:w="1345" w:type="dxa"/>
          </w:tcPr>
          <w:p w:rsidR="00822883" w:rsidRPr="00FF2719" w:rsidRDefault="002B2006" w:rsidP="00477B97">
            <w:pPr>
              <w:jc w:val="right"/>
              <w:rPr>
                <w:b/>
              </w:rPr>
            </w:pPr>
            <w:r>
              <w:rPr>
                <w:b/>
              </w:rPr>
              <w:t>304,200</w:t>
            </w:r>
            <w:r w:rsidR="00822883" w:rsidRPr="00FF2719">
              <w:rPr>
                <w:b/>
              </w:rPr>
              <w:fldChar w:fldCharType="begin"/>
            </w:r>
            <w:r w:rsidR="00822883" w:rsidRPr="00FF2719">
              <w:rPr>
                <w:b/>
              </w:rPr>
              <w:instrText xml:space="preserve"> =SUM(ABOVE) </w:instrText>
            </w:r>
            <w:r w:rsidR="00822883" w:rsidRPr="00FF2719">
              <w:rPr>
                <w:b/>
              </w:rPr>
              <w:fldChar w:fldCharType="end"/>
            </w:r>
          </w:p>
        </w:tc>
      </w:tr>
      <w:tr w:rsidR="00F57FA4" w:rsidRPr="00FF2719" w:rsidTr="004B4406">
        <w:tc>
          <w:tcPr>
            <w:tcW w:w="2785" w:type="dxa"/>
            <w:shd w:val="clear" w:color="auto" w:fill="E7E6E6" w:themeFill="background2"/>
          </w:tcPr>
          <w:p w:rsidR="00F57FA4" w:rsidRPr="00FF2719" w:rsidRDefault="00F57FA4" w:rsidP="00477B97">
            <w:pPr>
              <w:rPr>
                <w:b/>
              </w:rPr>
            </w:pPr>
            <w:r w:rsidRPr="00FF2719">
              <w:rPr>
                <w:b/>
              </w:rPr>
              <w:t>Type of Expenditure</w:t>
            </w:r>
          </w:p>
        </w:tc>
        <w:tc>
          <w:tcPr>
            <w:tcW w:w="2520" w:type="dxa"/>
            <w:shd w:val="clear" w:color="auto" w:fill="E7E6E6" w:themeFill="background2"/>
          </w:tcPr>
          <w:p w:rsidR="00F57FA4" w:rsidRPr="00FF2719" w:rsidRDefault="00F57FA4" w:rsidP="00477B97">
            <w:pPr>
              <w:rPr>
                <w:b/>
              </w:rPr>
            </w:pPr>
            <w:r w:rsidRPr="00FF2719">
              <w:rPr>
                <w:b/>
              </w:rPr>
              <w:t>Items to be Purchased</w:t>
            </w:r>
          </w:p>
        </w:tc>
        <w:tc>
          <w:tcPr>
            <w:tcW w:w="1080" w:type="dxa"/>
            <w:shd w:val="clear" w:color="auto" w:fill="E7E6E6" w:themeFill="background2"/>
          </w:tcPr>
          <w:p w:rsidR="00F57FA4" w:rsidRPr="00FF2719" w:rsidRDefault="00F57FA4" w:rsidP="00477B97">
            <w:pPr>
              <w:rPr>
                <w:b/>
              </w:rPr>
            </w:pPr>
            <w:r w:rsidRPr="00FF2719">
              <w:rPr>
                <w:b/>
              </w:rPr>
              <w:t>Quantity</w:t>
            </w:r>
          </w:p>
        </w:tc>
        <w:tc>
          <w:tcPr>
            <w:tcW w:w="1620" w:type="dxa"/>
            <w:shd w:val="clear" w:color="auto" w:fill="E7E6E6" w:themeFill="background2"/>
          </w:tcPr>
          <w:p w:rsidR="00F57FA4" w:rsidRPr="00FF2719" w:rsidRDefault="00514651" w:rsidP="00477B97">
            <w:pPr>
              <w:rPr>
                <w:b/>
              </w:rPr>
            </w:pPr>
            <w:r>
              <w:rPr>
                <w:b/>
              </w:rPr>
              <w:t xml:space="preserve">Avg. </w:t>
            </w:r>
            <w:r w:rsidR="00822883">
              <w:rPr>
                <w:b/>
              </w:rPr>
              <w:t>Cost/</w:t>
            </w:r>
            <w:r w:rsidR="00F57FA4" w:rsidRPr="00FF2719">
              <w:rPr>
                <w:b/>
              </w:rPr>
              <w:t>Item</w:t>
            </w:r>
          </w:p>
        </w:tc>
        <w:tc>
          <w:tcPr>
            <w:tcW w:w="1345" w:type="dxa"/>
            <w:shd w:val="clear" w:color="auto" w:fill="E7E6E6" w:themeFill="background2"/>
          </w:tcPr>
          <w:p w:rsidR="00F57FA4" w:rsidRPr="00FF2719" w:rsidRDefault="00F57FA4" w:rsidP="00477B97">
            <w:pPr>
              <w:rPr>
                <w:b/>
              </w:rPr>
            </w:pPr>
            <w:r w:rsidRPr="00FF2719">
              <w:rPr>
                <w:b/>
              </w:rPr>
              <w:t>Total Cost</w:t>
            </w:r>
          </w:p>
        </w:tc>
      </w:tr>
      <w:tr w:rsidR="00F57FA4" w:rsidTr="004B4406">
        <w:tc>
          <w:tcPr>
            <w:tcW w:w="2785" w:type="dxa"/>
          </w:tcPr>
          <w:p w:rsidR="00F57FA4" w:rsidRDefault="00F57FA4" w:rsidP="00477B97">
            <w:r>
              <w:t>Electronic Security System</w:t>
            </w:r>
          </w:p>
        </w:tc>
        <w:tc>
          <w:tcPr>
            <w:tcW w:w="2520" w:type="dxa"/>
          </w:tcPr>
          <w:p w:rsidR="00F57FA4" w:rsidRDefault="00F57FA4" w:rsidP="00477B97">
            <w:r>
              <w:t>Security Cameras</w:t>
            </w:r>
          </w:p>
        </w:tc>
        <w:tc>
          <w:tcPr>
            <w:tcW w:w="1080" w:type="dxa"/>
          </w:tcPr>
          <w:p w:rsidR="00F57FA4" w:rsidRDefault="00F57FA4" w:rsidP="00477B97">
            <w:pPr>
              <w:jc w:val="right"/>
            </w:pPr>
            <w:r>
              <w:t>50</w:t>
            </w:r>
          </w:p>
        </w:tc>
        <w:tc>
          <w:tcPr>
            <w:tcW w:w="1620" w:type="dxa"/>
          </w:tcPr>
          <w:p w:rsidR="00F57FA4" w:rsidRDefault="00366A07" w:rsidP="002B2006">
            <w:pPr>
              <w:jc w:val="right"/>
            </w:pPr>
            <w:r>
              <w:t>1,</w:t>
            </w:r>
            <w:r w:rsidR="002B2006">
              <w:t>706</w:t>
            </w:r>
            <w:r w:rsidR="00514651">
              <w:t>.50</w:t>
            </w:r>
          </w:p>
        </w:tc>
        <w:tc>
          <w:tcPr>
            <w:tcW w:w="1345" w:type="dxa"/>
          </w:tcPr>
          <w:p w:rsidR="00F57FA4" w:rsidRDefault="002B2006" w:rsidP="00477B97">
            <w:pPr>
              <w:jc w:val="right"/>
            </w:pPr>
            <w:r>
              <w:t>85,325</w:t>
            </w:r>
          </w:p>
        </w:tc>
      </w:tr>
      <w:tr w:rsidR="00822883" w:rsidRPr="00B51BE0" w:rsidTr="00483366">
        <w:tc>
          <w:tcPr>
            <w:tcW w:w="8005" w:type="dxa"/>
            <w:gridSpan w:val="4"/>
          </w:tcPr>
          <w:p w:rsidR="00822883" w:rsidRPr="00B51BE0" w:rsidRDefault="00822883" w:rsidP="00822883">
            <w:pPr>
              <w:jc w:val="right"/>
              <w:rPr>
                <w:b/>
              </w:rPr>
            </w:pPr>
            <w:r w:rsidRPr="00B51BE0">
              <w:rPr>
                <w:b/>
              </w:rPr>
              <w:t>Total Sub-Allocation for High-Tech Security Features</w:t>
            </w:r>
          </w:p>
        </w:tc>
        <w:tc>
          <w:tcPr>
            <w:tcW w:w="1345" w:type="dxa"/>
          </w:tcPr>
          <w:p w:rsidR="00822883" w:rsidRPr="00B51BE0" w:rsidRDefault="00822883" w:rsidP="00F57FA4">
            <w:pPr>
              <w:jc w:val="right"/>
              <w:rPr>
                <w:b/>
              </w:rPr>
            </w:pPr>
          </w:p>
        </w:tc>
      </w:tr>
      <w:tr w:rsidR="00822883" w:rsidRPr="00B51BE0" w:rsidTr="00822883">
        <w:tc>
          <w:tcPr>
            <w:tcW w:w="8005" w:type="dxa"/>
            <w:gridSpan w:val="4"/>
            <w:shd w:val="clear" w:color="auto" w:fill="BFBFBF" w:themeFill="background1" w:themeFillShade="BF"/>
          </w:tcPr>
          <w:p w:rsidR="00822883" w:rsidRPr="00B51BE0" w:rsidRDefault="00822883" w:rsidP="00822883">
            <w:pPr>
              <w:jc w:val="right"/>
              <w:rPr>
                <w:b/>
              </w:rPr>
            </w:pPr>
            <w:r>
              <w:rPr>
                <w:b/>
              </w:rPr>
              <w:t>Total 2nd Round Allocation</w:t>
            </w:r>
          </w:p>
        </w:tc>
        <w:tc>
          <w:tcPr>
            <w:tcW w:w="1345" w:type="dxa"/>
            <w:shd w:val="clear" w:color="auto" w:fill="BFBFBF" w:themeFill="background1" w:themeFillShade="BF"/>
          </w:tcPr>
          <w:p w:rsidR="00822883" w:rsidRPr="00B51BE0" w:rsidRDefault="00822883" w:rsidP="00477B97">
            <w:pPr>
              <w:jc w:val="right"/>
              <w:rPr>
                <w:b/>
              </w:rPr>
            </w:pPr>
            <w:r w:rsidRPr="00F57FA4">
              <w:rPr>
                <w:b/>
              </w:rPr>
              <w:t>389,525</w:t>
            </w:r>
          </w:p>
        </w:tc>
      </w:tr>
    </w:tbl>
    <w:p w:rsidR="004112EF" w:rsidRPr="00E30226" w:rsidRDefault="004112EF" w:rsidP="004112EF">
      <w:pPr>
        <w:ind w:left="4320" w:firstLine="720"/>
        <w:rPr>
          <w:rFonts w:cstheme="minorHAnsi"/>
          <w:sz w:val="24"/>
          <w:szCs w:val="24"/>
        </w:rPr>
      </w:pPr>
    </w:p>
    <w:sectPr w:rsidR="004112EF" w:rsidRPr="00E30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00E"/>
    <w:multiLevelType w:val="multilevel"/>
    <w:tmpl w:val="F35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32D05"/>
    <w:multiLevelType w:val="multilevel"/>
    <w:tmpl w:val="BBF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C5EDF"/>
    <w:multiLevelType w:val="hybridMultilevel"/>
    <w:tmpl w:val="9F1E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203C17"/>
    <w:rsid w:val="002B2006"/>
    <w:rsid w:val="002D4F69"/>
    <w:rsid w:val="00343576"/>
    <w:rsid w:val="00366A07"/>
    <w:rsid w:val="0038774F"/>
    <w:rsid w:val="004112EF"/>
    <w:rsid w:val="0043140F"/>
    <w:rsid w:val="004713EE"/>
    <w:rsid w:val="004A05E7"/>
    <w:rsid w:val="004B4406"/>
    <w:rsid w:val="00514651"/>
    <w:rsid w:val="00640434"/>
    <w:rsid w:val="0066174F"/>
    <w:rsid w:val="00822883"/>
    <w:rsid w:val="0088598C"/>
    <w:rsid w:val="00A54251"/>
    <w:rsid w:val="00BF12AE"/>
    <w:rsid w:val="00D10AD0"/>
    <w:rsid w:val="00E034B8"/>
    <w:rsid w:val="00E30226"/>
    <w:rsid w:val="00F5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EBC7-100B-4F3D-80CC-E59A7B90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2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0226"/>
    <w:pPr>
      <w:ind w:left="720"/>
      <w:contextualSpacing/>
    </w:pPr>
  </w:style>
  <w:style w:type="table" w:styleId="TableGrid">
    <w:name w:val="Table Grid"/>
    <w:basedOn w:val="TableNormal"/>
    <w:uiPriority w:val="39"/>
    <w:rsid w:val="00F5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Elizabeth</dc:creator>
  <cp:keywords/>
  <dc:description/>
  <cp:lastModifiedBy>Hardy, Elizabeth</cp:lastModifiedBy>
  <cp:revision>2</cp:revision>
  <dcterms:created xsi:type="dcterms:W3CDTF">2021-09-27T12:44:00Z</dcterms:created>
  <dcterms:modified xsi:type="dcterms:W3CDTF">2021-09-27T12:44:00Z</dcterms:modified>
</cp:coreProperties>
</file>